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suggests</w:t>
      </w:r>
      <w:r>
        <w:t xml:space="preserve"> </w:t>
      </w:r>
      <w:r>
        <w:t xml:space="preserve">potential</w:t>
      </w:r>
      <w:r>
        <w:t xml:space="preserve"> </w:t>
      </w:r>
      <w:r>
        <w:t xml:space="preserve">effects</w:t>
      </w:r>
      <w:r>
        <w:t xml:space="preserve"> </w:t>
      </w:r>
      <w:r>
        <w:t xml:space="preserve">of</w:t>
      </w:r>
      <w:r>
        <w:t xml:space="preserve"> </w:t>
      </w:r>
      <w:r>
        <w:t xml:space="preserve">plant</w:t>
      </w:r>
      <w:r>
        <w:t xml:space="preserve"> </w:t>
      </w:r>
      <w:r>
        <w:t xml:space="preserve">apparency</w:t>
      </w:r>
      <w:r>
        <w:t xml:space="preserve"> </w:t>
      </w:r>
      <w:r>
        <w:t xml:space="preserve">on</w:t>
      </w:r>
      <w:r>
        <w:t xml:space="preserve"> </w:t>
      </w:r>
      <w:r>
        <w:t xml:space="preserve">the</w:t>
      </w:r>
      <w:r>
        <w:t xml:space="preserve"> </w:t>
      </w:r>
      <w:r>
        <w:t xml:space="preserve">initial</w:t>
      </w:r>
      <w:r>
        <w:t xml:space="preserve"> </w:t>
      </w:r>
      <w:r>
        <w:t xml:space="preserve">colonization</w:t>
      </w:r>
      <w:r>
        <w:t xml:space="preserve"> </w:t>
      </w:r>
      <w:r>
        <w:t xml:space="preserve">of</w:t>
      </w:r>
      <w:r>
        <w:t xml:space="preserve"> </w:t>
      </w:r>
      <w:r>
        <w:t xml:space="preserve">aphids</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Plant size, height, and other architectural traits, collectively called</w:t>
      </w:r>
      <w:r>
        <w:t xml:space="preserve"> </w:t>
      </w:r>
      <w:r>
        <w:t xml:space="preserve">‘</w:t>
      </w:r>
      <w:r>
        <w:t xml:space="preserve">plant apparency</w:t>
      </w:r>
      <w:r>
        <w:t xml:space="preserve">’</w:t>
      </w:r>
      <w:r>
        <w:t xml:space="preserve">, determine plant’s visibility and consequent probability of being colonized by herbivores.</w:t>
      </w:r>
      <w:r>
        <w:t xml:space="preserve"> </w:t>
      </w:r>
      <w:r>
        <w:t xml:space="preserve">Although plant genes involved in physical and chemical defense are well studied in herbivory, less is known about the genetic basis underlying effects of plant apparency on herbivore colonization.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GWAS of aphid abundance detected a rare but significant SNP variant on the third chromosome of</w:t>
      </w:r>
      <w:r>
        <w:t xml:space="preserve"> </w:t>
      </w:r>
      <w:r>
        <w:rPr>
          <w:iCs/>
          <w:i/>
        </w:rPr>
        <w:t xml:space="preserve">A. thaliana</w:t>
      </w:r>
      <w:r>
        <w:t xml:space="preserve">, which was also partly associated with the presence or absence of inflorescence.</w:t>
      </w:r>
      <w:r>
        <w:t xml:space="preserve"> </w:t>
      </w:r>
      <w:r>
        <w:t xml:space="preserve">Out of candidate genes near this significant SNP,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w:t>
      </w:r>
      <w:r>
        <w:t xml:space="preserve"> </w:t>
      </w:r>
      <w:r>
        <w:t xml:space="preserve">These findings suggest that genes relevant to plant apparency might underpin aphid colonization in the field.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[5,6]</w:t>
      </w:r>
      <w:r>
        <w:t xml:space="preserve">.</w:t>
      </w:r>
      <w:r>
        <w:t xml:space="preserve"> </w:t>
      </w:r>
      <w:r>
        <w:t xml:space="preserve">For example, plant size, height, and the other architectural traits often shape plants’ visibility for herbivores</w:t>
      </w:r>
      <w:r>
        <w:t xml:space="preserve"> </w:t>
      </w:r>
      <w:r>
        <w:t xml:space="preserve">[7,8]</w:t>
      </w:r>
      <w:r>
        <w:t xml:space="preserve">.</w:t>
      </w:r>
      <w:r>
        <w:t xml:space="preserve"> </w:t>
      </w:r>
      <w:r>
        <w:t xml:space="preserve">The set of visible traits, collectively called plant apparency</w:t>
      </w:r>
      <w:r>
        <w:t xml:space="preserve"> </w:t>
      </w:r>
      <w:r>
        <w:t xml:space="preserve">[9]</w:t>
      </w:r>
      <w:r>
        <w:t xml:space="preserve">, changes from vegetative to reproductive stage</w:t>
      </w:r>
      <w:r>
        <w:t xml:space="preserve"> </w:t>
      </w:r>
      <w:r>
        <w:t xml:space="preserve">[6]</w:t>
      </w:r>
      <w:r>
        <w:t xml:space="preserve"> </w:t>
      </w:r>
      <w:r>
        <w:t xml:space="preserve">and thereby affect the probability of being harbored by herbivores</w:t>
      </w:r>
      <w:r>
        <w:t xml:space="preserve"> </w:t>
      </w:r>
      <w:r>
        <w:t xml:space="preserve">[10,11]</w:t>
      </w:r>
      <w:r>
        <w:t xml:space="preserve">.</w:t>
      </w:r>
      <w:r>
        <w:t xml:space="preserve"> </w:t>
      </w:r>
      <w:r>
        <w:t xml:space="preserve">By focusing on genetic variation within a plant species, several studies have shown that plant architectural traits shape heritable variation in herbivore abundance and community composition</w:t>
      </w:r>
      <w:r>
        <w:t xml:space="preserve"> </w:t>
      </w:r>
      <w:r>
        <w:t xml:space="preserve">[4,12,13]</w:t>
      </w:r>
      <w:r>
        <w:t xml:space="preserve">.</w:t>
      </w:r>
      <w:r>
        <w:t xml:space="preserve"> </w:t>
      </w:r>
      <w:r>
        <w:t xml:space="preserve">Yet, less is known about the underlying genetic basis of the plant apparency on herbivore colonization.</w:t>
      </w:r>
    </w:p>
    <w:p>
      <w:pPr>
        <w:pStyle w:val="BodyText"/>
      </w:pPr>
      <w:r>
        <w:t xml:space="preserve">Genome-wide association study (GWAS) is an effective way to dissect the genetic architecture of ecologically important traits</w:t>
      </w:r>
      <w:r>
        <w:t xml:space="preserve"> </w:t>
      </w:r>
      <w:r>
        <w:t xml:space="preserve">[14,15]</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[16,17]</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[18,19]</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[20–24]</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[24–26]</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[4,27]</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[28]</w:t>
      </w:r>
      <w:r>
        <w:t xml:space="preserve">.</w:t>
      </w:r>
      <w:r>
        <w:t xml:space="preserve"> </w:t>
      </w:r>
      <w:r>
        <w:t xml:space="preserve">Because aphids often suck phloem sap from leaf veins and flowering stems, we hypothesized that plant apparency may play a key role in harboring aphids under field conditions.</w:t>
      </w:r>
    </w:p>
    <w:p>
      <w:pPr>
        <w:pStyle w:val="BodyText"/>
      </w:pPr>
      <w:r>
        <w:t xml:space="preserve">To reveal the genetic architecture of aphid abundance,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[29]</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[30]</w:t>
      </w:r>
      <w:r>
        <w:t xml:space="preserve"> </w:t>
      </w:r>
      <w:r>
        <w:t xml:space="preserve">and 1001 Genomes</w:t>
      </w:r>
      <w:r>
        <w:t xml:space="preserve"> </w:t>
      </w:r>
      <w:r>
        <w:t xml:space="preserve">[31]</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[32]</w:t>
      </w:r>
      <w:r>
        <w:t xml:space="preserve">.</w:t>
      </w:r>
      <w:r>
        <w:t xml:space="preserve"> </w:t>
      </w:r>
      <w:r>
        <w:t xml:space="preserve">The target phenotype was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imputed full-sequence dataset</w:t>
      </w:r>
      <w:r>
        <w:t xml:space="preserve"> </w:t>
      </w:r>
      <w:r>
        <w:t xml:space="preserve">[32]</w:t>
      </w:r>
      <w:r>
        <w:t xml:space="preserve"> </w:t>
      </w:r>
      <w:r>
        <w:t xml:space="preserve">was used as SNP data for the 196 accessions.</w:t>
      </w:r>
      <w:r>
        <w:t xml:space="preserve"> </w:t>
      </w:r>
      <w:r>
        <w:t xml:space="preserve">Pseudo-heritability</w:t>
      </w:r>
      <w:r>
        <w:t xml:space="preserve"> </w:t>
      </w:r>
      <m:oMath>
        <m:sSup>
          <m:e>
            <m:r>
              <m:t>h</m:t>
            </m:r>
          </m:e>
          <m:sup>
            <m:r>
              <m:t>2</m:t>
            </m:r>
          </m:sup>
        </m:sSup>
      </m:oMath>
      <w:r>
        <w:t xml:space="preserve"> </w:t>
      </w:r>
      <w:r>
        <w:t xml:space="preserve">[32]</w:t>
      </w:r>
      <w:r>
        <w:t xml:space="preserve"> </w:t>
      </w:r>
      <w:r>
        <w:t xml:space="preserve">was calculated for the target phenotype before association mapping.</w:t>
      </w:r>
      <w:r>
        <w:t xml:space="preserve"> </w:t>
      </w:r>
      <w:r>
        <w:t xml:space="preserve">Accelerated mixed models</w:t>
      </w:r>
      <w:r>
        <w:t xml:space="preserve"> </w:t>
      </w:r>
      <w:r>
        <w:t xml:space="preserve">[32]</w:t>
      </w:r>
      <w:r>
        <w:t xml:space="preserve"> </w:t>
      </w:r>
      <w:r>
        <w:t xml:space="preserve">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[33]</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[34]</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 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The cDNA was amplified by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[35]</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All statistical analyses were performed using R version 4.0.3</w:t>
      </w:r>
      <w:r>
        <w:t xml:space="preserve"> </w:t>
      </w:r>
      <w:r>
        <w:t xml:space="preserve">[36]</w:t>
      </w:r>
      <w:r>
        <w:t xml:space="preserve">.</w:t>
      </w:r>
      <w:r>
        <w:t xml:space="preserve"> </w:t>
      </w:r>
      <w:r>
        <w:t xml:space="preserve">For LMM and GLMM, we used the lmer and glmer function implemented in the lme4 package</w:t>
      </w:r>
      <w:r>
        <w:t xml:space="preserve"> </w:t>
      </w:r>
      <w:r>
        <w:t xml:space="preserve">[37]</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This top-scoring SNP was also associated with the bolting to non-significant but strong extent (-log</w:t>
      </w:r>
      <w:r>
        <w:rPr>
          <w:vertAlign w:val="subscript"/>
        </w:rPr>
        <w:t xml:space="preserve">10</w:t>
      </w:r>
      <w:r>
        <w:t xml:space="preserve">(p)=5.26; Fig. SX).</w:t>
      </w:r>
      <w:r>
        <w:t xml:space="preserve"> </w:t>
      </w:r>
      <w:r>
        <w:t xml:space="preserve">The significance of chr3-4579292 turned smaller but remained at -log</w:t>
      </w:r>
      <w:r>
        <w:rPr>
          <w:vertAlign w:val="subscript"/>
        </w:rPr>
        <w:t xml:space="preserve">10</w:t>
      </w:r>
      <w:r>
        <w:t xml:space="preserve">(p)=6.40 when we adjusted the effects of bolting on aphid abundance, indicating the partial contribution of the bolting to shaping the significant association between chr3-4579292 SNP and aphid abundance.</w:t>
      </w:r>
      <w:r>
        <w:t xml:space="preserve"> </w:t>
      </w:r>
      <w:r>
        <w:t xml:space="preserve">In contrast, chr3-4579292 remained significant (-log</w:t>
      </w:r>
      <w:r>
        <w:rPr>
          <w:vertAlign w:val="subscript"/>
        </w:rPr>
        <w:t xml:space="preserve">10</w:t>
      </w:r>
      <w:r>
        <w:t xml:space="preserve">(p)=8.77) when we adjusted the effects of initial plant size on aphid abundance.</w:t>
      </w:r>
      <w:r>
        <w:t xml:space="preserve"> </w:t>
      </w:r>
      <w:r>
        <w:t xml:space="preserve">This weak influence of the initial size was plausible because plants were grown in a laboratory before field experiment to minimize variation in their initial size.</w:t>
      </w:r>
      <w:r>
        <w:t xml:space="preserve"> </w:t>
      </w:r>
      <w:r>
        <w:t xml:space="preserve">The line of GWAS analyses suggests that the SNP at chr3-4579292 was significantly associated with aphid abundance through its potential influence on flowering.</w:t>
      </w:r>
    </w:p>
    <w:p>
      <w:pPr>
        <w:pStyle w:val="BodyText"/>
      </w:pPr>
      <w:r>
        <w:t xml:space="preserve">To narrow down candidate genes, we further focused on genomic region near the significant SNP at chr3-4579292.</w:t>
      </w:r>
      <w:r>
        <w:t xml:space="preserve"> </w:t>
      </w:r>
      <w:r>
        <w:t xml:space="preserve">Five out of the 196 accessions carried a rare allele increasing aphid abundance, while the other accessions have major alleles (Figure SXa).</w:t>
      </w:r>
      <w:r>
        <w:t xml:space="preserve"> </w:t>
      </w:r>
      <w:r>
        <w:t xml:space="preserve">Genome sequences of four of the five rare accessions are available in the 1001 Genome Project, where three of the four available accessions shared similar patterns near chr3-4579292 but differed from major accessions (Figure SXb).</w:t>
      </w:r>
      <w:r>
        <w:t xml:space="preserve"> </w:t>
      </w:r>
      <w:r>
        <w:t xml:space="preserve">Three candidate genes were located nearest to the chr3-4579292, such as a putative ribosomal gene (AT3G13882) that is homologous to a ribosome protein L34 gene (RPL34)</w:t>
      </w:r>
      <w:r>
        <w:t xml:space="preserve"> </w:t>
      </w:r>
      <w:r>
        <w:t xml:space="preserve">[38]</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[33]</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[33]</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r>
        <w:t xml:space="preserve"> </w:t>
      </w:r>
      <w:r>
        <w:t xml:space="preserve">We also incorporated the plant size or flowering time as an offset term in GLMMs to examine their confounding influence on aphid abundance.</w:t>
      </w:r>
      <w:r>
        <w:t xml:space="preserve"> </w:t>
      </w:r>
      <w:r>
        <w:t xml:space="preserve">When the plant size was offset, the number of aphids less significantly differed between the wild type and mutant (Table SX). When the flowering time was offset, the number of aphids more significantly differed between the wild type and mutant (Table SX).</w:t>
      </w:r>
      <w:r>
        <w:t xml:space="preserve"> </w:t>
      </w:r>
      <w:r>
        <w:t xml:space="preserve">These additional analyses support the observational evidence that delayed growth and flowering of the mutant plant results in less successful establishment of aphid colony than the wild type.</w:t>
      </w:r>
    </w:p>
    <w:bookmarkEnd w:id="38"/>
    <w:bookmarkEnd w:id="39"/>
    <w:bookmarkStart w:id="40" w:name="discussion"/>
    <w:p>
      <w:pPr>
        <w:pStyle w:val="Heading1"/>
      </w:pPr>
      <w:r>
        <w:t xml:space="preserve">Discussion</w:t>
      </w:r>
    </w:p>
    <w:p>
      <w:pPr>
        <w:pStyle w:val="FirstParagraph"/>
      </w:pPr>
      <w:r>
        <w:t xml:space="preserve">Guided by the field GWAS of aphid abundance, we discovered a mutant plant that exhibited slower growth and harbored fewer aphids in</w:t>
      </w:r>
      <w:r>
        <w:t xml:space="preserve"> </w:t>
      </w:r>
      <w:r>
        <w:rPr>
          <w:iCs/>
          <w:i/>
        </w:rPr>
        <w:t xml:space="preserve">A. thaliana</w:t>
      </w:r>
      <w:r>
        <w:t xml:space="preserve">. 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[39]</w:t>
      </w:r>
      <w:r>
        <w:t xml:space="preserve">, reduced root length</w:t>
      </w:r>
      <w:r>
        <w:t xml:space="preserve"> </w:t>
      </w:r>
      <w:r>
        <w:t xml:space="preserve">[40]</w:t>
      </w:r>
      <w:r>
        <w:t xml:space="preserve">, and the reduction of pollen number</w:t>
      </w:r>
      <w:r>
        <w:t xml:space="preserve"> </w:t>
      </w:r>
      <w:r>
        <w:t xml:space="preserve">[17,41]</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p>
    <w:p>
      <w:pPr>
        <w:pStyle w:val="BodyText"/>
      </w:pPr>
      <w:r>
        <w:t xml:space="preserve">We should note, however, that further study on natural variants responsible for the delayed growth and reduced aphid abundance would be necessary to validate its importance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[17,41]</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[17]</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natural alleles needs to be created using genomic editing first and then exchanged between natural accessions by crossing,</w:t>
      </w:r>
      <w:r>
        <w:t xml:space="preserve"> </w:t>
      </w:r>
      <w:r>
        <w:t xml:space="preserve">Such quantitative complementation tests</w:t>
      </w:r>
      <w:r>
        <w:t xml:space="preserve"> </w:t>
      </w:r>
      <w:r>
        <w:t xml:space="preserve">[17,41]</w:t>
      </w:r>
      <w:r>
        <w:t xml:space="preserve"> </w:t>
      </w:r>
      <w:r>
        <w:t xml:space="preserve">will be needed to identify natural causal variants that alter aphid abundance through delayed growth.</w:t>
      </w:r>
    </w:p>
    <w:p>
      <w:pPr>
        <w:pStyle w:val="BodyText"/>
      </w:pPr>
      <w:r>
        <w:t xml:space="preserve">Discovery of flowering-associated loci is sometimes of main interests in GWAS, but other times conceals net genetic effects on other complex traits of interests</w:t>
      </w:r>
      <w:r>
        <w:t xml:space="preserve"> </w:t>
      </w:r>
      <w:r>
        <w:t xml:space="preserve">[42,43]</w:t>
      </w:r>
      <w:r>
        <w:t xml:space="preserve">.</w:t>
      </w:r>
      <w:r>
        <w:t xml:space="preserve"> </w:t>
      </w:r>
      <w:r>
        <w:t xml:space="preserve">Our GWAS of aphid abundance unexpectedly led us to detect a significant rare variant that was also partially associated with the bolting.</w:t>
      </w:r>
      <w:r>
        <w:t xml:space="preserve"> </w:t>
      </w:r>
      <w:r>
        <w:t xml:space="preserve">By ruling out the plant size and flowering time as confounding factors, we were able to detect substantial contributions of plant apparency to aphid abundance.</w:t>
      </w:r>
      <w:r>
        <w:t xml:space="preserve"> </w:t>
      </w:r>
      <w:r>
        <w:t xml:space="preserve">This finding does not necessarily indicates the irrelevance of chemical and physical defense traits to herbivore colonization.</w:t>
      </w:r>
      <w:r>
        <w:t xml:space="preserve"> </w:t>
      </w:r>
      <w:r>
        <w:t xml:space="preserve">Although our top-scoring SNP did not match known GWAS peaks of glucosinolates</w:t>
      </w:r>
      <w:r>
        <w:t xml:space="preserve"> </w:t>
      </w:r>
      <w:r>
        <w:t xml:space="preserve">[44]</w:t>
      </w:r>
      <w:r>
        <w:t xml:space="preserve">, it was still possible that secondary metabolites and volatile-mediated defense signaling were more influential on aphid colonization.</w:t>
      </w:r>
      <w:r>
        <w:t xml:space="preserve"> </w:t>
      </w:r>
      <w:r>
        <w:t xml:space="preserve">While plant apparency can alter the initial colonization of aphids in</w:t>
      </w:r>
      <w:r>
        <w:t xml:space="preserve"> </w:t>
      </w:r>
      <w:r>
        <w:rPr>
          <w:iCs/>
          <w:i/>
        </w:rPr>
        <w:t xml:space="preserve">A. thaliana</w:t>
      </w:r>
      <w:r>
        <w:t xml:space="preserve">, its long-term consequence on plant defense and resultant fitness remains unknown.</w:t>
      </w:r>
      <w:r>
        <w:t xml:space="preserve"> </w:t>
      </w:r>
      <w:r>
        <w:t xml:space="preserve">Further studies on fitness consequence besides the identification of natural causal variants would be needed to verify ecological impacts of a single-gene on plant-herbivore interactions.</w:t>
      </w:r>
    </w:p>
    <w:p>
      <w:pPr>
        <w:pStyle w:val="BodyText"/>
      </w:pPr>
      <w:r>
        <w:t xml:space="preserve">Overall, our study suggests the potential importance of genetically based plant apparency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[15]</w:t>
      </w:r>
      <w:r>
        <w:t xml:space="preserve">.</w:t>
      </w:r>
      <w:r>
        <w:t xml:space="preserve"> </w:t>
      </w:r>
      <w:r>
        <w:t xml:space="preserve">These lines of studies suggest that plant genetic variation governs herbivore abundance and communities</w:t>
      </w:r>
      <w:r>
        <w:t xml:space="preserve"> </w:t>
      </w:r>
      <w:r>
        <w:t xml:space="preserve">[4,12,13,15]</w:t>
      </w:r>
      <w:r>
        <w:t xml:space="preserve">, but a keystone gene shaping the ecological communities was not identified until recently</w:t>
      </w:r>
      <w:r>
        <w:t xml:space="preserve"> </w:t>
      </w:r>
      <w:r>
        <w:t xml:space="preserve">[35]</w:t>
      </w:r>
      <w:r>
        <w:t xml:space="preserve">.</w:t>
      </w:r>
      <w:r>
        <w:t xml:space="preserve"> </w:t>
      </w:r>
      <w:r>
        <w:t xml:space="preserve">Barbour et al.</w:t>
      </w:r>
      <w:r>
        <w:t xml:space="preserve"> </w:t>
      </w:r>
      <w:r>
        <w:t xml:space="preserve">[35]</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[45,46]</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 and its published version is deposited on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association score of -log10(p). A red solid line indicates randomly expected association scores abd the shaded area corresponds to its 95% confidence intervals. This figure shows that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A red solid line indicates randomly expected association scores abd the shaded area corresponds to its 95% confidence intervals. This figure shows that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29" w:name="references"/>
    <w:p>
      <w:pPr>
        <w:pStyle w:val="Heading1"/>
      </w:pPr>
      <w:r>
        <w:t xml:space="preserve">References</w:t>
      </w:r>
    </w:p>
    <w:bookmarkStart w:id="128"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79"/>
    <w:bookmarkStart w:id="80"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0"/>
    <w:bookmarkStart w:id="81"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2"/>
    <w:bookmarkStart w:id="83"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3"/>
    <w:bookmarkStart w:id="84"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4"/>
    <w:bookmarkStart w:id="85" w:name="ref-higuchi2019leaf"/>
    <w:p>
      <w:pPr>
        <w:pStyle w:val="Bibliography"/>
      </w:pPr>
      <w:r>
        <w:t xml:space="preserve">8.</w:t>
      </w:r>
      <w:r>
        <w:t xml:space="preserve"> </w:t>
      </w:r>
      <w:r>
        <w:t xml:space="preserve">	</w:t>
      </w:r>
      <w:r>
        <w:t xml:space="preserve">Higuchi Y, Kawakita A. 2019 Leaf shape deters plant processing by an herbivorous weevil.</w:t>
      </w:r>
      <w:r>
        <w:t xml:space="preserve"> </w:t>
      </w:r>
      <w:r>
        <w:rPr>
          <w:iCs/>
          <w:i/>
        </w:rPr>
        <w:t xml:space="preserve">Nature Plants</w:t>
      </w:r>
      <w:r>
        <w:t xml:space="preserve"> </w:t>
      </w:r>
      <w:r>
        <w:rPr>
          <w:bCs/>
          <w:b/>
        </w:rPr>
        <w:t xml:space="preserve">5</w:t>
      </w:r>
      <w:r>
        <w:t xml:space="preserve">, 959–964.</w:t>
      </w:r>
    </w:p>
    <w:bookmarkEnd w:id="85"/>
    <w:bookmarkStart w:id="87"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6">
        <w:r>
          <w:rPr>
            <w:rStyle w:val="Hyperlink"/>
          </w:rPr>
          <w:t xml:space="preserve">10.1007/978-1-4684-2646-5_1</w:t>
        </w:r>
      </w:hyperlink>
      <w:r>
        <w:t xml:space="preserve">)</w:t>
      </w:r>
    </w:p>
    <w:bookmarkEnd w:id="87"/>
    <w:bookmarkStart w:id="88" w:name="ref-kawagoe2010escape"/>
    <w:p>
      <w:pPr>
        <w:pStyle w:val="Bibliography"/>
      </w:pPr>
      <w:r>
        <w:t xml:space="preserve">10.</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8"/>
    <w:bookmarkStart w:id="89" w:name="ref-marquis2021escape"/>
    <w:p>
      <w:pPr>
        <w:pStyle w:val="Bibliography"/>
      </w:pPr>
      <w:r>
        <w:t xml:space="preserve">11.</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9"/>
    <w:bookmarkStart w:id="90" w:name="ref-johnson2009heritability"/>
    <w:p>
      <w:pPr>
        <w:pStyle w:val="Bibliography"/>
      </w:pPr>
      <w:r>
        <w:t xml:space="preserve">12.</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90"/>
    <w:bookmarkStart w:id="91" w:name="ref-barbour2015multiple"/>
    <w:p>
      <w:pPr>
        <w:pStyle w:val="Bibliography"/>
      </w:pPr>
      <w:r>
        <w:t xml:space="preserve">13.</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1"/>
    <w:bookmarkStart w:id="92" w:name="ref-santure2018wild"/>
    <w:p>
      <w:pPr>
        <w:pStyle w:val="Bibliography"/>
      </w:pPr>
      <w:r>
        <w:t xml:space="preserve">14.</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2"/>
    <w:bookmarkStart w:id="93" w:name="ref-barker2019linking"/>
    <w:p>
      <w:pPr>
        <w:pStyle w:val="Bibliography"/>
      </w:pPr>
      <w:r>
        <w:t xml:space="preserve">15.</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3"/>
    <w:bookmarkStart w:id="94" w:name="ref-fujii2019stigmatic"/>
    <w:p>
      <w:pPr>
        <w:pStyle w:val="Bibliography"/>
      </w:pPr>
      <w:r>
        <w:t xml:space="preserve">16.</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4"/>
    <w:bookmarkStart w:id="95" w:name="ref-tsuchimatsu2020adaptive"/>
    <w:p>
      <w:pPr>
        <w:pStyle w:val="Bibliography"/>
      </w:pPr>
      <w:r>
        <w:t xml:space="preserve">17.</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5"/>
    <w:bookmarkStart w:id="96" w:name="ref-honjo2020seasonality"/>
    <w:p>
      <w:pPr>
        <w:pStyle w:val="Bibliography"/>
      </w:pPr>
      <w:r>
        <w:t xml:space="preserve">18.</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6"/>
    <w:bookmarkStart w:id="97" w:name="ref-sato2019transcriptional"/>
    <w:p>
      <w:pPr>
        <w:pStyle w:val="Bibliography"/>
      </w:pPr>
      <w:r>
        <w:t xml:space="preserve">19.</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7"/>
    <w:bookmarkStart w:id="98" w:name="ref-shimizu2011plant"/>
    <w:p>
      <w:pPr>
        <w:pStyle w:val="Bibliography"/>
      </w:pPr>
      <w:r>
        <w:t xml:space="preserve">20.</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8"/>
    <w:bookmarkStart w:id="99" w:name="ref-kudoh2016molecular"/>
    <w:p>
      <w:pPr>
        <w:pStyle w:val="Bibliography"/>
      </w:pPr>
      <w:r>
        <w:t xml:space="preserve">21.</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9"/>
    <w:bookmarkStart w:id="100" w:name="ref-yamasaki2017genomics"/>
    <w:p>
      <w:pPr>
        <w:pStyle w:val="Bibliography"/>
      </w:pPr>
      <w:r>
        <w:t xml:space="preserve">22.</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100"/>
    <w:bookmarkStart w:id="101" w:name="ref-zaidem2019evolutionary"/>
    <w:p>
      <w:pPr>
        <w:pStyle w:val="Bibliography"/>
      </w:pPr>
      <w:r>
        <w:t xml:space="preserve">23.</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1"/>
    <w:bookmarkStart w:id="103" w:name="ref-stockenhuber2021uv"/>
    <w:p>
      <w:pPr>
        <w:pStyle w:val="Bibliography"/>
      </w:pPr>
      <w:r>
        <w:t xml:space="preserve">24.</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2">
        <w:r>
          <w:rPr>
            <w:rStyle w:val="Hyperlink"/>
          </w:rPr>
          <w:t xml:space="preserve">10.1101/2021.12.08.471623</w:t>
        </w:r>
      </w:hyperlink>
      <w:r>
        <w:t xml:space="preserve">)</w:t>
      </w:r>
    </w:p>
    <w:bookmarkEnd w:id="103"/>
    <w:bookmarkStart w:id="104" w:name="ref-thompson1994spatiotemporal"/>
    <w:p>
      <w:pPr>
        <w:pStyle w:val="Bibliography"/>
      </w:pPr>
      <w:r>
        <w:t xml:space="preserve">25.</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4"/>
    <w:bookmarkStart w:id="105" w:name="ref-taylor2017interacting"/>
    <w:p>
      <w:pPr>
        <w:pStyle w:val="Bibliography"/>
      </w:pPr>
      <w:r>
        <w:t xml:space="preserve">26.</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5"/>
    <w:bookmarkStart w:id="106" w:name="ref-mosleh2009herbivory"/>
    <w:p>
      <w:pPr>
        <w:pStyle w:val="Bibliography"/>
      </w:pPr>
      <w:r>
        <w:t xml:space="preserve">27.</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6"/>
    <w:bookmarkStart w:id="107" w:name="ref-zust2012natural"/>
    <w:p>
      <w:pPr>
        <w:pStyle w:val="Bibliography"/>
      </w:pPr>
      <w:r>
        <w:t xml:space="preserve">28.</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7"/>
    <w:bookmarkStart w:id="108"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8"/>
    <w:bookmarkStart w:id="109" w:name="ref-horton2012genome"/>
    <w:p>
      <w:pPr>
        <w:pStyle w:val="Bibliography"/>
      </w:pPr>
      <w:r>
        <w:t xml:space="preserve">30.</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9"/>
    <w:bookmarkStart w:id="110" w:name="ref-alonso20161"/>
    <w:p>
      <w:pPr>
        <w:pStyle w:val="Bibliography"/>
      </w:pPr>
      <w:r>
        <w:t xml:space="preserve">31.</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10"/>
    <w:bookmarkStart w:id="111" w:name="ref-seren2018gwa"/>
    <w:p>
      <w:pPr>
        <w:pStyle w:val="Bibliography"/>
      </w:pPr>
      <w:r>
        <w:t xml:space="preserve">32.</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1"/>
    <w:bookmarkStart w:id="112" w:name="ref-klepikova2016high"/>
    <w:p>
      <w:pPr>
        <w:pStyle w:val="Bibliography"/>
      </w:pPr>
      <w:r>
        <w:t xml:space="preserve">33.</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12"/>
    <w:bookmarkStart w:id="113" w:name="ref-o2015user"/>
    <w:p>
      <w:pPr>
        <w:pStyle w:val="Bibliography"/>
      </w:pPr>
      <w:r>
        <w:t xml:space="preserve">34.</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3"/>
    <w:bookmarkStart w:id="114" w:name="ref-barbour2022keystone"/>
    <w:p>
      <w:pPr>
        <w:pStyle w:val="Bibliography"/>
      </w:pPr>
      <w:r>
        <w:t xml:space="preserve">35.</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4"/>
    <w:bookmarkStart w:id="116" w:name="ref-Rcite"/>
    <w:p>
      <w:pPr>
        <w:pStyle w:val="Bibliography"/>
      </w:pPr>
      <w:r>
        <w:t xml:space="preserve">36.</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5">
        <w:r>
          <w:rPr>
            <w:rStyle w:val="Hyperlink"/>
          </w:rPr>
          <w:t xml:space="preserve">https://www.R-project.org/</w:t>
        </w:r>
      </w:hyperlink>
      <w:r>
        <w:t xml:space="preserve">.</w:t>
      </w:r>
    </w:p>
    <w:bookmarkEnd w:id="116"/>
    <w:bookmarkStart w:id="118" w:name="ref-lme4"/>
    <w:p>
      <w:pPr>
        <w:pStyle w:val="Bibliography"/>
      </w:pPr>
      <w:r>
        <w:t xml:space="preserve">37.</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17">
        <w:r>
          <w:rPr>
            <w:rStyle w:val="Hyperlink"/>
          </w:rPr>
          <w:t xml:space="preserve">10.18637/jss.v067.i01</w:t>
        </w:r>
      </w:hyperlink>
      <w:r>
        <w:t xml:space="preserve">)</w:t>
      </w:r>
    </w:p>
    <w:bookmarkEnd w:id="118"/>
    <w:bookmarkStart w:id="119" w:name="ref-cheng2017araport11"/>
    <w:p>
      <w:pPr>
        <w:pStyle w:val="Bibliography"/>
      </w:pPr>
      <w:r>
        <w:t xml:space="preserve">38.</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9"/>
    <w:bookmarkStart w:id="120" w:name="ref-fujikura2009coordination"/>
    <w:p>
      <w:pPr>
        <w:pStyle w:val="Bibliography"/>
      </w:pPr>
      <w:r>
        <w:t xml:space="preserve">39.</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20"/>
    <w:bookmarkStart w:id="121" w:name="ref-creff2010two"/>
    <w:p>
      <w:pPr>
        <w:pStyle w:val="Bibliography"/>
      </w:pPr>
      <w:r>
        <w:t xml:space="preserve">40.</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1"/>
    <w:bookmarkStart w:id="122" w:name="ref-kakui2022pollen"/>
    <w:p>
      <w:pPr>
        <w:pStyle w:val="Bibliography"/>
      </w:pPr>
      <w:r>
        <w:t xml:space="preserve">41.</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2"/>
    <w:bookmarkStart w:id="123" w:name="ref-hori2012variation"/>
    <w:p>
      <w:pPr>
        <w:pStyle w:val="Bibliography"/>
      </w:pPr>
      <w:r>
        <w:t xml:space="preserve">42.</w:t>
      </w:r>
      <w:r>
        <w:t xml:space="preserve"> </w:t>
      </w:r>
      <w:r>
        <w:t xml:space="preserve">	</w:t>
      </w:r>
      <w:r>
        <w:t xml:space="preserve">Hori K, Kataoka T, Miura K, Yamaguchi M, Saka N, Nakahara T, Sunohara Y, Ebana K, Yano M. 2012 Variation in heading date conceals quantitative trait loci for other traits of importance in breeding selection of rice.</w:t>
      </w:r>
      <w:r>
        <w:t xml:space="preserve"> </w:t>
      </w:r>
      <w:r>
        <w:rPr>
          <w:iCs/>
          <w:i/>
        </w:rPr>
        <w:t xml:space="preserve">Breeding science</w:t>
      </w:r>
      <w:r>
        <w:t xml:space="preserve"> </w:t>
      </w:r>
      <w:r>
        <w:rPr>
          <w:bCs/>
          <w:b/>
        </w:rPr>
        <w:t xml:space="preserve">62</w:t>
      </w:r>
      <w:r>
        <w:t xml:space="preserve">, 223–234.</w:t>
      </w:r>
    </w:p>
    <w:bookmarkEnd w:id="123"/>
    <w:bookmarkStart w:id="124" w:name="ref-onogi2016uncovering"/>
    <w:p>
      <w:pPr>
        <w:pStyle w:val="Bibliography"/>
      </w:pPr>
      <w:r>
        <w:t xml:space="preserve">43.</w:t>
      </w:r>
      <w:r>
        <w:t xml:space="preserve"> </w:t>
      </w:r>
      <w:r>
        <w:t xml:space="preserve">	</w:t>
      </w:r>
      <w:r>
        <w:t xml:space="preserve">Onogi A, Ideta O, Yoshioka T, Ebana K, Yamasaki M, Iwata H. 2016 Uncovering a nuisance influence of a phenological trait of plants using a nonlinear structural equation: Application to days to heading and culm length in asian cultivated rice (oryza sativa l.).</w:t>
      </w:r>
      <w:r>
        <w:t xml:space="preserve"> </w:t>
      </w:r>
      <w:r>
        <w:rPr>
          <w:iCs/>
          <w:i/>
        </w:rPr>
        <w:t xml:space="preserve">PLoS One</w:t>
      </w:r>
      <w:r>
        <w:t xml:space="preserve"> </w:t>
      </w:r>
      <w:r>
        <w:rPr>
          <w:bCs/>
          <w:b/>
        </w:rPr>
        <w:t xml:space="preserve">11</w:t>
      </w:r>
      <w:r>
        <w:t xml:space="preserve">, e0148609.</w:t>
      </w:r>
    </w:p>
    <w:bookmarkEnd w:id="124"/>
    <w:bookmarkStart w:id="125" w:name="ref-brachi2015coselected"/>
    <w:p>
      <w:pPr>
        <w:pStyle w:val="Bibliography"/>
      </w:pPr>
      <w:r>
        <w:t xml:space="preserve">44.</w:t>
      </w:r>
      <w:r>
        <w:t xml:space="preserve"> </w:t>
      </w:r>
      <w:r>
        <w:t xml:space="preserve">	</w:t>
      </w:r>
      <w:r>
        <w:t xml:space="preserve">Brachi B, Meyer CG, Villoutreix R, Platt A, Morton TC, Roux F, Bergelson J. 2015 Coselected genes determine adaptive variation in herbivore resistance throughout the native range of arabidopsis thaliana.</w:t>
      </w:r>
      <w:r>
        <w:t xml:space="preserve"> </w:t>
      </w:r>
      <w:r>
        <w:rPr>
          <w:iCs/>
          <w:i/>
        </w:rPr>
        <w:t xml:space="preserve">Proceedings of the National Academy of Sciences</w:t>
      </w:r>
      <w:r>
        <w:t xml:space="preserve"> </w:t>
      </w:r>
      <w:r>
        <w:rPr>
          <w:bCs/>
          <w:b/>
        </w:rPr>
        <w:t xml:space="preserve">112</w:t>
      </w:r>
      <w:r>
        <w:t xml:space="preserve">, 4032–4037.</w:t>
      </w:r>
    </w:p>
    <w:bookmarkEnd w:id="125"/>
    <w:bookmarkStart w:id="126" w:name="ref-dixon1977aphid"/>
    <w:p>
      <w:pPr>
        <w:pStyle w:val="Bibliography"/>
      </w:pPr>
      <w:r>
        <w:t xml:space="preserve">45.</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26"/>
    <w:bookmarkStart w:id="127" w:name="ref-snyder2003interactions"/>
    <w:p>
      <w:pPr>
        <w:pStyle w:val="Bibliography"/>
      </w:pPr>
      <w:r>
        <w:t xml:space="preserve">46.</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7"/>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2" Target="https://doi.org/10.1101/2021.12.08.471623" TargetMode="External" /><Relationship Type="http://schemas.openxmlformats.org/officeDocument/2006/relationships/hyperlink" Id="rId117"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5"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2" Target="https://doi.org/10.1101/2021.12.08.471623" TargetMode="External" /><Relationship Type="http://schemas.openxmlformats.org/officeDocument/2006/relationships/hyperlink" Id="rId117"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5"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suggests potential effects of plant apparency on the initial colonization of aphids in Arabidopsis thaliana</dc:title>
  <dc:creator/>
  <cp:keywords/>
  <dcterms:created xsi:type="dcterms:W3CDTF">2023-02-22T23:21:52Z</dcterms:created>
  <dcterms:modified xsi:type="dcterms:W3CDTF">2023-02-22T23:21:52Z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